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A0214" w14:textId="7E13D17F" w:rsidR="00E40226" w:rsidRDefault="00E40226" w:rsidP="007316A7">
      <w:pPr>
        <w:jc w:val="center"/>
        <w:rPr>
          <w:b/>
          <w:bCs/>
          <w:u w:val="single"/>
        </w:rPr>
      </w:pPr>
      <w:r w:rsidRPr="0051175F">
        <w:rPr>
          <w:rFonts w:ascii="Calibri" w:hAnsi="Calibri"/>
          <w:noProof/>
          <w:sz w:val="48"/>
          <w:szCs w:val="48"/>
        </w:rPr>
        <w:drawing>
          <wp:anchor distT="0" distB="0" distL="114300" distR="114300" simplePos="0" relativeHeight="251659264" behindDoc="0" locked="0" layoutInCell="1" allowOverlap="1" wp14:anchorId="5942D74F" wp14:editId="5958E23B">
            <wp:simplePos x="0" y="0"/>
            <wp:positionH relativeFrom="margin">
              <wp:align>right</wp:align>
            </wp:positionH>
            <wp:positionV relativeFrom="paragraph">
              <wp:posOffset>0</wp:posOffset>
            </wp:positionV>
            <wp:extent cx="1419225" cy="1419225"/>
            <wp:effectExtent l="0" t="0" r="0" b="0"/>
            <wp:wrapSquare wrapText="bothSides"/>
            <wp:docPr id="7801496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49620" name="Picture 1" descr="A logo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p>
    <w:p w14:paraId="6793119D" w14:textId="26C73923" w:rsidR="00E40226" w:rsidRPr="00E40226" w:rsidRDefault="00E40226" w:rsidP="00E40226">
      <w:pPr>
        <w:rPr>
          <w:rFonts w:ascii="Calibri" w:hAnsi="Calibri" w:cs="Calibri"/>
          <w:color w:val="156082" w:themeColor="accent1"/>
          <w:sz w:val="48"/>
          <w:szCs w:val="48"/>
        </w:rPr>
      </w:pPr>
      <w:r w:rsidRPr="00E40226">
        <w:rPr>
          <w:rFonts w:ascii="Calibri" w:hAnsi="Calibri" w:cs="Calibri"/>
          <w:color w:val="156082" w:themeColor="accent1"/>
          <w:sz w:val="48"/>
          <w:szCs w:val="48"/>
        </w:rPr>
        <w:t>Equality policy</w:t>
      </w:r>
    </w:p>
    <w:p w14:paraId="756DBC3B" w14:textId="77777777" w:rsidR="00E40226" w:rsidRDefault="00E40226" w:rsidP="007316A7">
      <w:pPr>
        <w:jc w:val="center"/>
        <w:rPr>
          <w:b/>
          <w:bCs/>
          <w:u w:val="single"/>
        </w:rPr>
      </w:pPr>
    </w:p>
    <w:p w14:paraId="0A9F58E7" w14:textId="77777777" w:rsidR="00E40226" w:rsidRDefault="00E40226" w:rsidP="007316A7">
      <w:pPr>
        <w:rPr>
          <w:rFonts w:ascii="Arial" w:hAnsi="Arial" w:cs="Arial"/>
          <w:bCs/>
        </w:rPr>
      </w:pPr>
    </w:p>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7"/>
        <w:gridCol w:w="6691"/>
      </w:tblGrid>
      <w:tr w:rsidR="00E40226" w:rsidRPr="0051175F" w14:paraId="341E9B48" w14:textId="77777777" w:rsidTr="00A93619">
        <w:trPr>
          <w:trHeight w:val="485"/>
        </w:trPr>
        <w:tc>
          <w:tcPr>
            <w:tcW w:w="280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77BD603E" w14:textId="77777777" w:rsidR="00E40226" w:rsidRPr="0051175F" w:rsidRDefault="00E40226" w:rsidP="00A93619">
            <w:pPr>
              <w:pStyle w:val="Body"/>
            </w:pPr>
            <w:r w:rsidRPr="0051175F">
              <w:rPr>
                <w:b/>
                <w:bCs/>
              </w:rPr>
              <w:t>Brief Description</w:t>
            </w:r>
          </w:p>
        </w:tc>
        <w:tc>
          <w:tcPr>
            <w:tcW w:w="669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7222628" w14:textId="2052DD9A" w:rsidR="00E40226" w:rsidRPr="0051175F" w:rsidRDefault="00E40226" w:rsidP="00A93619">
            <w:pPr>
              <w:pStyle w:val="Body"/>
            </w:pPr>
            <w:r w:rsidRPr="0051175F">
              <w:t xml:space="preserve">Policy aimed at </w:t>
            </w:r>
            <w:r>
              <w:t xml:space="preserve">ensuring equality for all who are associated with or </w:t>
            </w:r>
            <w:proofErr w:type="gramStart"/>
            <w:r>
              <w:t>come into contact with</w:t>
            </w:r>
            <w:proofErr w:type="gramEnd"/>
            <w:r>
              <w:t xml:space="preserve"> Godly Play UK</w:t>
            </w:r>
          </w:p>
        </w:tc>
      </w:tr>
      <w:tr w:rsidR="00E40226" w:rsidRPr="0051175F" w14:paraId="78EF5571"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1537EF54" w14:textId="77777777" w:rsidR="00E40226" w:rsidRPr="0051175F" w:rsidRDefault="00E40226" w:rsidP="00A93619">
            <w:pPr>
              <w:pStyle w:val="Body"/>
            </w:pPr>
            <w:r w:rsidRPr="0051175F">
              <w:rPr>
                <w:b/>
                <w:bCs/>
              </w:rPr>
              <w:t>Effective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1DE518A6" w14:textId="25498BBA" w:rsidR="00E40226" w:rsidRPr="0051175F" w:rsidRDefault="00E40226" w:rsidP="00A93619">
            <w:pPr>
              <w:pStyle w:val="Body"/>
            </w:pPr>
            <w:r>
              <w:t>26 March 2025</w:t>
            </w:r>
          </w:p>
        </w:tc>
      </w:tr>
      <w:tr w:rsidR="00E40226" w:rsidRPr="0051175F" w14:paraId="255D4089"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10ADD8A6" w14:textId="77777777" w:rsidR="00E40226" w:rsidRPr="0051175F" w:rsidRDefault="00E40226" w:rsidP="00A93619">
            <w:pPr>
              <w:pStyle w:val="Body"/>
            </w:pPr>
            <w:r w:rsidRPr="0051175F">
              <w:rPr>
                <w:b/>
                <w:bCs/>
              </w:rPr>
              <w:t>Approved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785D10DF" w14:textId="77777777" w:rsidR="00E40226" w:rsidRPr="0051175F" w:rsidRDefault="00E40226" w:rsidP="00A93619">
            <w:pPr>
              <w:pStyle w:val="Body"/>
            </w:pPr>
            <w:r w:rsidRPr="0051175F">
              <w:t>Trustees</w:t>
            </w:r>
          </w:p>
        </w:tc>
      </w:tr>
      <w:tr w:rsidR="00E40226" w:rsidRPr="0051175F" w14:paraId="104E6DDB" w14:textId="77777777" w:rsidTr="00A93619">
        <w:trPr>
          <w:trHeight w:val="48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058195A0" w14:textId="77777777" w:rsidR="00E40226" w:rsidRPr="0051175F" w:rsidRDefault="00E40226" w:rsidP="00A93619">
            <w:pPr>
              <w:pStyle w:val="Body"/>
            </w:pPr>
            <w:r w:rsidRPr="0051175F">
              <w:rPr>
                <w:b/>
                <w:bCs/>
              </w:rPr>
              <w:t>Written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5755C409" w14:textId="19705826" w:rsidR="00E40226" w:rsidRPr="0051175F" w:rsidRDefault="00E40226" w:rsidP="00A93619">
            <w:pPr>
              <w:pStyle w:val="Body"/>
            </w:pPr>
            <w:r>
              <w:t>Vicky Parry</w:t>
            </w:r>
          </w:p>
        </w:tc>
      </w:tr>
      <w:tr w:rsidR="00E40226" w:rsidRPr="0051175F" w14:paraId="5D2B5165"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2BD92335" w14:textId="7657E978" w:rsidR="00E40226" w:rsidRPr="0051175F" w:rsidRDefault="00E40226" w:rsidP="00A93619">
            <w:pPr>
              <w:pStyle w:val="Body"/>
            </w:pPr>
            <w:r>
              <w:rPr>
                <w:b/>
                <w:bCs/>
              </w:rPr>
              <w:t>Creation date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44286805" w14:textId="35E90744" w:rsidR="00E40226" w:rsidRPr="0051175F" w:rsidRDefault="00E40226" w:rsidP="00A93619">
            <w:pPr>
              <w:pStyle w:val="Body"/>
            </w:pPr>
            <w:r>
              <w:t>March 2025</w:t>
            </w:r>
          </w:p>
        </w:tc>
      </w:tr>
      <w:tr w:rsidR="00E40226" w:rsidRPr="0051175F" w14:paraId="1E1967E2"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61DE77C4" w14:textId="77777777" w:rsidR="00E40226" w:rsidRPr="0051175F" w:rsidRDefault="00E40226" w:rsidP="00A93619">
            <w:pPr>
              <w:pStyle w:val="Body"/>
            </w:pPr>
            <w:r w:rsidRPr="0051175F">
              <w:rPr>
                <w:b/>
                <w:bCs/>
              </w:rPr>
              <w:t>Next review date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2EA57F82" w14:textId="17E91B4A" w:rsidR="00E40226" w:rsidRPr="0051175F" w:rsidRDefault="00E40226" w:rsidP="00A93619">
            <w:pPr>
              <w:pStyle w:val="Body"/>
            </w:pPr>
            <w:r>
              <w:t>March 2027</w:t>
            </w:r>
          </w:p>
        </w:tc>
      </w:tr>
      <w:tr w:rsidR="00E40226" w:rsidRPr="0051175F" w14:paraId="4C193022" w14:textId="77777777" w:rsidTr="00A93619">
        <w:trPr>
          <w:trHeight w:val="245"/>
        </w:trPr>
        <w:tc>
          <w:tcPr>
            <w:tcW w:w="280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FB311C8" w14:textId="77777777" w:rsidR="00E40226" w:rsidRPr="0051175F" w:rsidRDefault="00E40226" w:rsidP="00A93619">
            <w:pPr>
              <w:pStyle w:val="Body"/>
            </w:pPr>
            <w:r w:rsidRPr="0051175F">
              <w:rPr>
                <w:b/>
                <w:bCs/>
              </w:rPr>
              <w:t>Applies to</w:t>
            </w:r>
          </w:p>
        </w:tc>
        <w:tc>
          <w:tcPr>
            <w:tcW w:w="669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3BE06D7" w14:textId="77777777" w:rsidR="00E40226" w:rsidRPr="0051175F" w:rsidRDefault="00E40226" w:rsidP="00A93619">
            <w:pPr>
              <w:pStyle w:val="Body"/>
            </w:pPr>
            <w:r w:rsidRPr="0051175F">
              <w:t xml:space="preserve">Godly Play UK administrator, trainers, trustees and advocates </w:t>
            </w:r>
          </w:p>
        </w:tc>
      </w:tr>
    </w:tbl>
    <w:p w14:paraId="7E8DB1A4" w14:textId="77777777" w:rsidR="00E40226" w:rsidRDefault="00E40226" w:rsidP="007316A7">
      <w:pPr>
        <w:rPr>
          <w:rFonts w:ascii="Arial" w:hAnsi="Arial" w:cs="Arial"/>
          <w:bCs/>
        </w:rPr>
      </w:pPr>
    </w:p>
    <w:p w14:paraId="5747E97A" w14:textId="64C89875" w:rsidR="007316A7" w:rsidRPr="00E40226" w:rsidRDefault="007316A7" w:rsidP="007316A7">
      <w:pPr>
        <w:rPr>
          <w:rFonts w:ascii="Calibri" w:hAnsi="Calibri" w:cs="Calibri"/>
          <w:color w:val="000000" w:themeColor="text1"/>
          <w:sz w:val="22"/>
          <w:szCs w:val="22"/>
        </w:rPr>
      </w:pPr>
      <w:r w:rsidRPr="00E40226">
        <w:rPr>
          <w:rFonts w:ascii="Calibri" w:hAnsi="Calibri" w:cs="Calibri"/>
          <w:bCs/>
          <w:sz w:val="22"/>
          <w:szCs w:val="22"/>
        </w:rPr>
        <w:t>Godly Play UK</w:t>
      </w:r>
      <w:r w:rsidRPr="00E40226">
        <w:rPr>
          <w:rFonts w:ascii="Calibri" w:hAnsi="Calibri" w:cs="Calibri"/>
          <w:sz w:val="22"/>
          <w:szCs w:val="22"/>
        </w:rPr>
        <w:t xml:space="preserve"> is committed to encouraging equality, and inclusion among all its people – trustees, trainers, volunteers and administrators – </w:t>
      </w:r>
      <w:r w:rsidRPr="00E40226">
        <w:rPr>
          <w:rFonts w:ascii="Calibri" w:hAnsi="Calibri" w:cs="Calibri"/>
          <w:color w:val="000000" w:themeColor="text1"/>
          <w:sz w:val="22"/>
          <w:szCs w:val="22"/>
        </w:rPr>
        <w:t>making sure that everyone is treated fairly and is not subjected to discrimination, either directly or indirectly. We are committed to respecting the dignity and worth of each individual and to fostering a climate of tolerance and diversity.</w:t>
      </w:r>
    </w:p>
    <w:p w14:paraId="7CD4C236" w14:textId="62006AF5" w:rsidR="007316A7" w:rsidRPr="00E40226" w:rsidRDefault="007316A7" w:rsidP="007316A7">
      <w:pPr>
        <w:rPr>
          <w:rFonts w:ascii="Calibri" w:hAnsi="Calibri" w:cs="Calibri"/>
          <w:color w:val="000000" w:themeColor="text1"/>
          <w:sz w:val="22"/>
          <w:szCs w:val="22"/>
        </w:rPr>
      </w:pPr>
      <w:r w:rsidRPr="00E40226">
        <w:rPr>
          <w:rFonts w:ascii="Calibri" w:hAnsi="Calibri" w:cs="Calibri"/>
          <w:color w:val="000000" w:themeColor="text1"/>
          <w:sz w:val="22"/>
          <w:szCs w:val="22"/>
        </w:rPr>
        <w:t xml:space="preserve">As a Christian organisation, we recognise that an effective equal opportunities policy which encourages diversity and inclusion, will help everyone within Godly Play UK develop to their full potential, which is clearly in the best interests of both our people and Godly Play UK’s aims and objectives. We want to ensure that we not only observe the relevant legislation but also do whatever is necessary to provide genuine equality of opportunity. We expect </w:t>
      </w:r>
      <w:proofErr w:type="gramStart"/>
      <w:r w:rsidRPr="00E40226">
        <w:rPr>
          <w:rFonts w:ascii="Calibri" w:hAnsi="Calibri" w:cs="Calibri"/>
          <w:color w:val="000000" w:themeColor="text1"/>
          <w:sz w:val="22"/>
          <w:szCs w:val="22"/>
        </w:rPr>
        <w:t>all of</w:t>
      </w:r>
      <w:proofErr w:type="gramEnd"/>
      <w:r w:rsidRPr="00E40226">
        <w:rPr>
          <w:rFonts w:ascii="Calibri" w:hAnsi="Calibri" w:cs="Calibri"/>
          <w:color w:val="000000" w:themeColor="text1"/>
          <w:sz w:val="22"/>
          <w:szCs w:val="22"/>
        </w:rPr>
        <w:t xml:space="preserve"> our people to be treated and to treat others, including the public with whom we interact, with respect. Our aim is to provide an environment within all aspects of Godly Play UK which is free from harassment, intimidation, or discrimination in any form which may affect the dignity of the individual. To that end, we provide training and support.</w:t>
      </w:r>
    </w:p>
    <w:p w14:paraId="5ED43FAB" w14:textId="77777777" w:rsidR="007316A7" w:rsidRPr="00E40226" w:rsidRDefault="007316A7" w:rsidP="007316A7">
      <w:pPr>
        <w:pStyle w:val="Heading2"/>
        <w:rPr>
          <w:rFonts w:ascii="Calibri" w:hAnsi="Calibri" w:cs="Calibri"/>
          <w:sz w:val="36"/>
          <w:szCs w:val="36"/>
        </w:rPr>
      </w:pPr>
      <w:r w:rsidRPr="00E40226">
        <w:rPr>
          <w:rFonts w:ascii="Calibri" w:hAnsi="Calibri" w:cs="Calibri"/>
          <w:sz w:val="36"/>
          <w:szCs w:val="36"/>
        </w:rPr>
        <w:t>Our people</w:t>
      </w:r>
    </w:p>
    <w:p w14:paraId="0F9B64FB" w14:textId="77777777" w:rsidR="007316A7" w:rsidRPr="00E40226" w:rsidRDefault="007316A7" w:rsidP="007316A7">
      <w:pPr>
        <w:rPr>
          <w:rFonts w:ascii="Calibri" w:hAnsi="Calibri" w:cs="Calibri"/>
          <w:sz w:val="22"/>
          <w:szCs w:val="22"/>
        </w:rPr>
      </w:pPr>
      <w:r w:rsidRPr="00E40226">
        <w:rPr>
          <w:rFonts w:ascii="Calibri" w:hAnsi="Calibri" w:cs="Calibri"/>
          <w:sz w:val="22"/>
          <w:szCs w:val="22"/>
        </w:rPr>
        <w:t>Godly Play UK is not an employer. As a charity, our work is overseen by a board of trustees. A great deal of our work is undertaken by our volunteers and in addition, we use self-employed trainers, an administrator and a bookkeeper on an individually contracted basis, submitting invoices for the work they undertake on behalf of the charity.</w:t>
      </w:r>
    </w:p>
    <w:p w14:paraId="0E798C8C" w14:textId="77777777" w:rsidR="007316A7" w:rsidRPr="00E40226" w:rsidRDefault="007316A7" w:rsidP="007316A7">
      <w:pPr>
        <w:rPr>
          <w:rFonts w:ascii="Calibri" w:hAnsi="Calibri" w:cs="Calibri"/>
          <w:sz w:val="22"/>
          <w:szCs w:val="22"/>
        </w:rPr>
      </w:pPr>
      <w:r w:rsidRPr="00E40226">
        <w:rPr>
          <w:rFonts w:ascii="Calibri" w:hAnsi="Calibri" w:cs="Calibri"/>
          <w:sz w:val="22"/>
          <w:szCs w:val="22"/>
        </w:rPr>
        <w:t>This policy’s purpose is to:</w:t>
      </w:r>
    </w:p>
    <w:p w14:paraId="681193C6" w14:textId="77777777" w:rsidR="007316A7" w:rsidRPr="00E40226" w:rsidRDefault="007316A7" w:rsidP="007316A7">
      <w:pPr>
        <w:rPr>
          <w:rFonts w:ascii="Calibri" w:hAnsi="Calibri" w:cs="Calibri"/>
          <w:sz w:val="22"/>
          <w:szCs w:val="22"/>
        </w:rPr>
      </w:pPr>
      <w:r w:rsidRPr="00E40226">
        <w:rPr>
          <w:rFonts w:ascii="Calibri" w:hAnsi="Calibri" w:cs="Calibri"/>
          <w:sz w:val="22"/>
          <w:szCs w:val="22"/>
        </w:rPr>
        <w:t xml:space="preserve">1. </w:t>
      </w:r>
      <w:r w:rsidRPr="00E40226">
        <w:rPr>
          <w:rFonts w:ascii="Calibri" w:hAnsi="Calibri" w:cs="Calibri"/>
          <w:color w:val="000000" w:themeColor="text1"/>
          <w:sz w:val="22"/>
          <w:szCs w:val="22"/>
        </w:rPr>
        <w:t xml:space="preserve">Show our commitment to </w:t>
      </w:r>
      <w:r w:rsidRPr="00E40226">
        <w:rPr>
          <w:rFonts w:ascii="Calibri" w:hAnsi="Calibri" w:cs="Calibri"/>
          <w:sz w:val="22"/>
          <w:szCs w:val="22"/>
        </w:rPr>
        <w:t>provide equality, fairness and respect for all who work on our behalf, whether in a voluntary or contracted capacity.</w:t>
      </w:r>
    </w:p>
    <w:p w14:paraId="055F1220" w14:textId="77777777" w:rsidR="007316A7" w:rsidRPr="00E40226" w:rsidRDefault="007316A7" w:rsidP="007316A7">
      <w:pPr>
        <w:rPr>
          <w:rFonts w:ascii="Calibri" w:hAnsi="Calibri" w:cs="Calibri"/>
          <w:sz w:val="22"/>
          <w:szCs w:val="22"/>
        </w:rPr>
      </w:pPr>
      <w:r w:rsidRPr="00E40226">
        <w:rPr>
          <w:rFonts w:ascii="Calibri" w:hAnsi="Calibri" w:cs="Calibri"/>
          <w:sz w:val="22"/>
          <w:szCs w:val="22"/>
        </w:rPr>
        <w:t xml:space="preserve">2. </w:t>
      </w:r>
      <w:r w:rsidRPr="00E40226">
        <w:rPr>
          <w:rFonts w:ascii="Calibri" w:hAnsi="Calibri" w:cs="Calibri"/>
          <w:color w:val="000000" w:themeColor="text1"/>
          <w:sz w:val="22"/>
          <w:szCs w:val="22"/>
        </w:rPr>
        <w:t xml:space="preserve">Show our commitment to </w:t>
      </w:r>
      <w:r w:rsidRPr="00E40226">
        <w:rPr>
          <w:rFonts w:ascii="Calibri" w:hAnsi="Calibri" w:cs="Calibri"/>
          <w:sz w:val="22"/>
          <w:szCs w:val="22"/>
        </w:rPr>
        <w:t>the Equality Act 2010 and its protected characteristics of:</w:t>
      </w:r>
    </w:p>
    <w:p w14:paraId="2B4702CF"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age</w:t>
      </w:r>
    </w:p>
    <w:p w14:paraId="5E4386FB"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disability</w:t>
      </w:r>
    </w:p>
    <w:p w14:paraId="5F9E2578"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gender reassignment</w:t>
      </w:r>
    </w:p>
    <w:p w14:paraId="51106813"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marriage and civil partnership</w:t>
      </w:r>
    </w:p>
    <w:p w14:paraId="7D7587ED"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pregnancy and maternity</w:t>
      </w:r>
    </w:p>
    <w:p w14:paraId="20EC85F0"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race (including colour, nationality, and ethnic or national origin)</w:t>
      </w:r>
    </w:p>
    <w:p w14:paraId="2CDAFED0"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religion or belief</w:t>
      </w:r>
    </w:p>
    <w:p w14:paraId="686E34FF"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sex</w:t>
      </w:r>
    </w:p>
    <w:p w14:paraId="66F406C2" w14:textId="77777777" w:rsidR="007316A7" w:rsidRPr="00E40226" w:rsidRDefault="007316A7" w:rsidP="007316A7">
      <w:pPr>
        <w:pStyle w:val="ListParagraph"/>
        <w:numPr>
          <w:ilvl w:val="0"/>
          <w:numId w:val="1"/>
        </w:numPr>
        <w:spacing w:after="200" w:line="276" w:lineRule="auto"/>
        <w:rPr>
          <w:rFonts w:ascii="Calibri" w:hAnsi="Calibri" w:cs="Calibri"/>
          <w:sz w:val="22"/>
          <w:szCs w:val="22"/>
        </w:rPr>
      </w:pPr>
      <w:r w:rsidRPr="00E40226">
        <w:rPr>
          <w:rFonts w:ascii="Calibri" w:hAnsi="Calibri" w:cs="Calibri"/>
          <w:sz w:val="22"/>
          <w:szCs w:val="22"/>
        </w:rPr>
        <w:t>sexual orientation</w:t>
      </w:r>
    </w:p>
    <w:p w14:paraId="349DFF5B" w14:textId="36AFBA04" w:rsidR="007316A7" w:rsidRPr="00E40226" w:rsidRDefault="007316A7" w:rsidP="00114F25">
      <w:pPr>
        <w:rPr>
          <w:rFonts w:ascii="Calibri" w:hAnsi="Calibri" w:cs="Calibri"/>
          <w:sz w:val="22"/>
          <w:szCs w:val="22"/>
        </w:rPr>
      </w:pPr>
      <w:r w:rsidRPr="00E40226">
        <w:rPr>
          <w:rFonts w:ascii="Calibri" w:hAnsi="Calibri" w:cs="Calibri"/>
          <w:sz w:val="22"/>
          <w:szCs w:val="22"/>
        </w:rPr>
        <w:t xml:space="preserve">3. </w:t>
      </w:r>
      <w:r w:rsidRPr="00E40226">
        <w:rPr>
          <w:rFonts w:ascii="Calibri" w:hAnsi="Calibri" w:cs="Calibri"/>
          <w:color w:val="000000" w:themeColor="text1"/>
          <w:sz w:val="22"/>
          <w:szCs w:val="22"/>
        </w:rPr>
        <w:t xml:space="preserve">Show our commitment to opposing and avoiding </w:t>
      </w:r>
      <w:r w:rsidRPr="00E40226">
        <w:rPr>
          <w:rFonts w:ascii="Calibri" w:hAnsi="Calibri" w:cs="Calibri"/>
          <w:sz w:val="22"/>
          <w:szCs w:val="22"/>
        </w:rPr>
        <w:t xml:space="preserve">all forms of unlawful discrimination. This includes </w:t>
      </w:r>
      <w:r w:rsidR="00114F25" w:rsidRPr="00E40226">
        <w:rPr>
          <w:rFonts w:ascii="Calibri" w:hAnsi="Calibri" w:cs="Calibri"/>
          <w:sz w:val="22"/>
          <w:szCs w:val="22"/>
        </w:rPr>
        <w:t>our trainer agreement.</w:t>
      </w:r>
    </w:p>
    <w:p w14:paraId="58102655" w14:textId="77777777" w:rsidR="007316A7" w:rsidRPr="00E40226" w:rsidRDefault="007316A7" w:rsidP="007316A7">
      <w:pPr>
        <w:pStyle w:val="Heading2"/>
        <w:rPr>
          <w:rFonts w:ascii="Calibri" w:hAnsi="Calibri" w:cs="Calibri"/>
          <w:sz w:val="22"/>
          <w:szCs w:val="22"/>
        </w:rPr>
      </w:pPr>
      <w:r w:rsidRPr="00E40226">
        <w:rPr>
          <w:rFonts w:ascii="Calibri" w:hAnsi="Calibri" w:cs="Calibri"/>
          <w:sz w:val="36"/>
          <w:szCs w:val="36"/>
        </w:rPr>
        <w:lastRenderedPageBreak/>
        <w:t>Our commitments</w:t>
      </w:r>
      <w:r w:rsidRPr="00E40226">
        <w:rPr>
          <w:rFonts w:ascii="Calibri" w:hAnsi="Calibri" w:cs="Calibri"/>
          <w:sz w:val="36"/>
          <w:szCs w:val="36"/>
        </w:rPr>
        <w:br/>
      </w:r>
      <w:r w:rsidRPr="00E40226">
        <w:rPr>
          <w:rFonts w:ascii="Calibri" w:hAnsi="Calibri" w:cs="Calibri"/>
          <w:sz w:val="22"/>
          <w:szCs w:val="22"/>
        </w:rPr>
        <w:br/>
      </w:r>
      <w:r w:rsidRPr="00E40226">
        <w:rPr>
          <w:rFonts w:ascii="Calibri" w:hAnsi="Calibri" w:cs="Calibri"/>
          <w:color w:val="000000" w:themeColor="text1"/>
          <w:sz w:val="22"/>
          <w:szCs w:val="22"/>
        </w:rPr>
        <w:t>Godly Play UK commits to</w:t>
      </w:r>
      <w:r w:rsidRPr="00E40226">
        <w:rPr>
          <w:rFonts w:ascii="Calibri" w:hAnsi="Calibri" w:cs="Calibri"/>
          <w:sz w:val="22"/>
          <w:szCs w:val="22"/>
        </w:rPr>
        <w:t>:</w:t>
      </w:r>
      <w:r w:rsidRPr="00E40226">
        <w:rPr>
          <w:rFonts w:ascii="Calibri" w:hAnsi="Calibri" w:cs="Calibri"/>
          <w:sz w:val="22"/>
          <w:szCs w:val="22"/>
        </w:rPr>
        <w:br/>
      </w:r>
    </w:p>
    <w:p w14:paraId="7E9B7978" w14:textId="0F5E1616" w:rsidR="007316A7" w:rsidRPr="00E40226" w:rsidRDefault="007316A7" w:rsidP="007316A7">
      <w:pPr>
        <w:rPr>
          <w:rFonts w:ascii="Calibri" w:hAnsi="Calibri" w:cs="Calibri"/>
          <w:sz w:val="22"/>
          <w:szCs w:val="22"/>
        </w:rPr>
      </w:pPr>
      <w:r w:rsidRPr="00E40226">
        <w:rPr>
          <w:rFonts w:ascii="Calibri" w:hAnsi="Calibri" w:cs="Calibri"/>
          <w:sz w:val="22"/>
          <w:szCs w:val="22"/>
        </w:rPr>
        <w:t>1</w:t>
      </w:r>
      <w:r w:rsidRPr="00E40226">
        <w:rPr>
          <w:rFonts w:ascii="Calibri" w:hAnsi="Calibri" w:cs="Calibri"/>
          <w:color w:val="FF0000"/>
          <w:sz w:val="22"/>
          <w:szCs w:val="22"/>
        </w:rPr>
        <w:t xml:space="preserve">. </w:t>
      </w:r>
      <w:r w:rsidRPr="00E40226">
        <w:rPr>
          <w:rFonts w:ascii="Calibri" w:hAnsi="Calibri" w:cs="Calibri"/>
          <w:color w:val="000000" w:themeColor="text1"/>
          <w:sz w:val="22"/>
          <w:szCs w:val="22"/>
        </w:rPr>
        <w:t xml:space="preserve">Encourage </w:t>
      </w:r>
      <w:r w:rsidRPr="00E40226">
        <w:rPr>
          <w:rFonts w:ascii="Calibri" w:hAnsi="Calibri" w:cs="Calibri"/>
          <w:sz w:val="22"/>
          <w:szCs w:val="22"/>
        </w:rPr>
        <w:t xml:space="preserve">equality, diversity and inclusion in the services that we offer. </w:t>
      </w:r>
      <w:r w:rsidRPr="00E40226">
        <w:rPr>
          <w:rFonts w:ascii="Calibri" w:hAnsi="Calibri" w:cs="Calibri"/>
          <w:strike/>
          <w:sz w:val="22"/>
          <w:szCs w:val="22"/>
        </w:rPr>
        <w:br/>
      </w:r>
    </w:p>
    <w:p w14:paraId="2D8FF4B2" w14:textId="392345FB" w:rsidR="007316A7" w:rsidRPr="00E40226" w:rsidRDefault="007316A7" w:rsidP="007316A7">
      <w:pPr>
        <w:rPr>
          <w:rFonts w:ascii="Calibri" w:hAnsi="Calibri" w:cs="Calibri"/>
          <w:color w:val="000000" w:themeColor="text1"/>
          <w:sz w:val="22"/>
          <w:szCs w:val="22"/>
        </w:rPr>
      </w:pPr>
      <w:r w:rsidRPr="00E40226">
        <w:rPr>
          <w:rFonts w:ascii="Calibri" w:hAnsi="Calibri" w:cs="Calibri"/>
          <w:sz w:val="22"/>
          <w:szCs w:val="22"/>
        </w:rPr>
        <w:t xml:space="preserve">2. </w:t>
      </w:r>
      <w:r w:rsidRPr="00E40226">
        <w:rPr>
          <w:rFonts w:ascii="Calibri" w:hAnsi="Calibri" w:cs="Calibri"/>
          <w:color w:val="000000" w:themeColor="text1"/>
          <w:sz w:val="22"/>
          <w:szCs w:val="22"/>
        </w:rPr>
        <w:t>Create</w:t>
      </w:r>
      <w:r w:rsidRPr="00E40226">
        <w:rPr>
          <w:rFonts w:ascii="Calibri" w:hAnsi="Calibri" w:cs="Calibri"/>
          <w:sz w:val="22"/>
          <w:szCs w:val="22"/>
        </w:rPr>
        <w:t xml:space="preserve"> an environment free of bullying, harassment, victimisation and unlawful discrimination, promoting dignity and respect for all, and where individual differences and the contributions of all our people are recognised and valued. </w:t>
      </w:r>
      <w:r w:rsidRPr="00E40226">
        <w:rPr>
          <w:rFonts w:ascii="Calibri" w:hAnsi="Calibri" w:cs="Calibri"/>
          <w:sz w:val="22"/>
          <w:szCs w:val="22"/>
        </w:rPr>
        <w:br/>
      </w:r>
      <w:r w:rsidRPr="00E40226">
        <w:rPr>
          <w:rFonts w:ascii="Calibri" w:hAnsi="Calibri" w:cs="Calibri"/>
          <w:color w:val="000000" w:themeColor="text1"/>
          <w:sz w:val="22"/>
          <w:szCs w:val="22"/>
        </w:rPr>
        <w:br/>
        <w:t>This commitment includes training all our people about their rights and responsibilities under this equality, diversity and inclusion policy. These responsibilities include all our people conducting themselves appropriately to help Godly Play UK provide equal opportunities in recruiting both volunteers and contracted trainers and prevent bullying, harassment, victimisation and unlawful discrimination. We accept thereby that trustees, trainers and volunteers can be held liable for acts of bullying, harassment, victimisation and unlawful discrimination, in the course of their work, against other trustees, trainers, volunteers, users, suppliers and the public.</w:t>
      </w:r>
      <w:r w:rsidRPr="00E40226">
        <w:rPr>
          <w:rFonts w:ascii="Calibri" w:hAnsi="Calibri" w:cs="Calibri"/>
          <w:color w:val="000000" w:themeColor="text1"/>
          <w:sz w:val="22"/>
          <w:szCs w:val="22"/>
        </w:rPr>
        <w:br/>
      </w:r>
    </w:p>
    <w:p w14:paraId="06AB0D23" w14:textId="77777777" w:rsidR="007316A7" w:rsidRPr="00E40226" w:rsidRDefault="007316A7" w:rsidP="007316A7">
      <w:pPr>
        <w:rPr>
          <w:rFonts w:ascii="Calibri" w:hAnsi="Calibri" w:cs="Calibri"/>
          <w:sz w:val="22"/>
          <w:szCs w:val="22"/>
        </w:rPr>
      </w:pPr>
      <w:r w:rsidRPr="00E40226">
        <w:rPr>
          <w:rFonts w:ascii="Calibri" w:hAnsi="Calibri" w:cs="Calibri"/>
          <w:sz w:val="22"/>
          <w:szCs w:val="22"/>
        </w:rPr>
        <w:t xml:space="preserve">3. </w:t>
      </w:r>
      <w:r w:rsidRPr="00E40226">
        <w:rPr>
          <w:rFonts w:ascii="Calibri" w:hAnsi="Calibri" w:cs="Calibri"/>
          <w:color w:val="000000" w:themeColor="text1"/>
          <w:sz w:val="22"/>
          <w:szCs w:val="22"/>
        </w:rPr>
        <w:t>Take</w:t>
      </w:r>
      <w:r w:rsidRPr="00E40226">
        <w:rPr>
          <w:rFonts w:ascii="Calibri" w:hAnsi="Calibri" w:cs="Calibri"/>
          <w:sz w:val="22"/>
          <w:szCs w:val="22"/>
        </w:rPr>
        <w:t xml:space="preserve"> seriously complaints of bullying, harassment, victimisation and unlawful discrimination by colleagues, users, suppliers, the public and any others </w:t>
      </w:r>
      <w:proofErr w:type="gramStart"/>
      <w:r w:rsidRPr="00E40226">
        <w:rPr>
          <w:rFonts w:ascii="Calibri" w:hAnsi="Calibri" w:cs="Calibri"/>
          <w:sz w:val="22"/>
          <w:szCs w:val="22"/>
        </w:rPr>
        <w:t>in the course of</w:t>
      </w:r>
      <w:proofErr w:type="gramEnd"/>
      <w:r w:rsidRPr="00E40226">
        <w:rPr>
          <w:rFonts w:ascii="Calibri" w:hAnsi="Calibri" w:cs="Calibri"/>
          <w:sz w:val="22"/>
          <w:szCs w:val="22"/>
        </w:rPr>
        <w:t xml:space="preserve"> our activities.</w:t>
      </w:r>
    </w:p>
    <w:p w14:paraId="0BDCE4E4" w14:textId="6B6BBC4F" w:rsidR="00DF16C5" w:rsidRPr="00E40226" w:rsidRDefault="00DF16C5" w:rsidP="00A85481">
      <w:pPr>
        <w:rPr>
          <w:rFonts w:ascii="Calibri" w:hAnsi="Calibri" w:cs="Calibri"/>
          <w:sz w:val="22"/>
          <w:szCs w:val="22"/>
        </w:rPr>
      </w:pPr>
      <w:r w:rsidRPr="00E40226">
        <w:rPr>
          <w:rFonts w:ascii="Calibri" w:hAnsi="Calibri" w:cs="Calibri"/>
          <w:sz w:val="22"/>
          <w:szCs w:val="22"/>
        </w:rPr>
        <w:t xml:space="preserve">Deal with misconduct in relation to these commitments under our grievance </w:t>
      </w:r>
      <w:r w:rsidR="00F54C6C" w:rsidRPr="00E40226">
        <w:rPr>
          <w:rFonts w:ascii="Calibri" w:hAnsi="Calibri" w:cs="Calibri"/>
          <w:sz w:val="22"/>
          <w:szCs w:val="22"/>
        </w:rPr>
        <w:t xml:space="preserve">and or harassment </w:t>
      </w:r>
      <w:r w:rsidRPr="00E40226">
        <w:rPr>
          <w:rFonts w:ascii="Calibri" w:hAnsi="Calibri" w:cs="Calibri"/>
          <w:sz w:val="22"/>
          <w:szCs w:val="22"/>
        </w:rPr>
        <w:t xml:space="preserve">procedures, and take appropriate action (including reporting to the police if harassment amounting to a criminal offence has been committed). </w:t>
      </w:r>
      <w:r w:rsidRPr="00E40226">
        <w:rPr>
          <w:rFonts w:ascii="Calibri" w:hAnsi="Calibri" w:cs="Calibri"/>
          <w:sz w:val="22"/>
          <w:szCs w:val="22"/>
        </w:rPr>
        <w:br/>
      </w:r>
      <w:r w:rsidRPr="00E40226">
        <w:rPr>
          <w:rFonts w:ascii="Calibri" w:hAnsi="Calibri" w:cs="Calibri"/>
          <w:sz w:val="22"/>
          <w:szCs w:val="22"/>
        </w:rPr>
        <w:br/>
        <w:t xml:space="preserve">4. </w:t>
      </w:r>
      <w:r w:rsidRPr="00E40226">
        <w:rPr>
          <w:rFonts w:ascii="Calibri" w:hAnsi="Calibri" w:cs="Calibri"/>
          <w:color w:val="000000" w:themeColor="text1"/>
          <w:sz w:val="22"/>
          <w:szCs w:val="22"/>
        </w:rPr>
        <w:t>Make</w:t>
      </w:r>
      <w:r w:rsidRPr="00E40226">
        <w:rPr>
          <w:rFonts w:ascii="Calibri" w:hAnsi="Calibri" w:cs="Calibri"/>
          <w:sz w:val="22"/>
          <w:szCs w:val="22"/>
        </w:rPr>
        <w:t xml:space="preserve"> opportunities for training and development available to all our people, who will be helped and encouraged to develop their full potential, so their talents and resources can be fully utilised to maximise the potential of Godly Play UK</w:t>
      </w:r>
      <w:r w:rsidRPr="00E40226">
        <w:rPr>
          <w:rFonts w:ascii="Calibri" w:hAnsi="Calibri" w:cs="Calibri"/>
          <w:color w:val="FF0000"/>
          <w:sz w:val="22"/>
          <w:szCs w:val="22"/>
        </w:rPr>
        <w:br/>
      </w:r>
    </w:p>
    <w:p w14:paraId="3445BBBF" w14:textId="450F7EB2" w:rsidR="00DF16C5" w:rsidRPr="00E40226" w:rsidRDefault="00A85481" w:rsidP="00DF16C5">
      <w:pPr>
        <w:rPr>
          <w:rFonts w:ascii="Calibri" w:hAnsi="Calibri" w:cs="Calibri"/>
          <w:color w:val="000000" w:themeColor="text1"/>
          <w:sz w:val="22"/>
          <w:szCs w:val="22"/>
        </w:rPr>
      </w:pPr>
      <w:r w:rsidRPr="00E40226">
        <w:rPr>
          <w:rFonts w:ascii="Calibri" w:hAnsi="Calibri" w:cs="Calibri"/>
          <w:sz w:val="22"/>
          <w:szCs w:val="22"/>
        </w:rPr>
        <w:t>5.</w:t>
      </w:r>
      <w:r w:rsidR="00DF16C5" w:rsidRPr="00E40226">
        <w:rPr>
          <w:rFonts w:ascii="Calibri" w:hAnsi="Calibri" w:cs="Calibri"/>
          <w:color w:val="000000" w:themeColor="text1"/>
          <w:sz w:val="22"/>
          <w:szCs w:val="22"/>
        </w:rPr>
        <w:t xml:space="preserve">Review the agreements and contracts we make with our trainers, advocates, administrator and bookkeeper when necessary to ensure continuing fairness, </w:t>
      </w:r>
      <w:proofErr w:type="gramStart"/>
      <w:r w:rsidR="00DF16C5" w:rsidRPr="00E40226">
        <w:rPr>
          <w:rFonts w:ascii="Calibri" w:hAnsi="Calibri" w:cs="Calibri"/>
          <w:color w:val="000000" w:themeColor="text1"/>
          <w:sz w:val="22"/>
          <w:szCs w:val="22"/>
        </w:rPr>
        <w:t>and also</w:t>
      </w:r>
      <w:proofErr w:type="gramEnd"/>
      <w:r w:rsidR="00DF16C5" w:rsidRPr="00E40226">
        <w:rPr>
          <w:rFonts w:ascii="Calibri" w:hAnsi="Calibri" w:cs="Calibri"/>
          <w:color w:val="000000" w:themeColor="text1"/>
          <w:sz w:val="22"/>
          <w:szCs w:val="22"/>
        </w:rPr>
        <w:t xml:space="preserve"> update these agreements and contracts and this policy as necessary to take account of changes in the law.</w:t>
      </w:r>
      <w:r w:rsidR="00DF16C5" w:rsidRPr="00E40226">
        <w:rPr>
          <w:rFonts w:ascii="Calibri" w:hAnsi="Calibri" w:cs="Calibri"/>
          <w:color w:val="000000" w:themeColor="text1"/>
          <w:sz w:val="22"/>
          <w:szCs w:val="22"/>
        </w:rPr>
        <w:br/>
      </w:r>
    </w:p>
    <w:p w14:paraId="72405BB6" w14:textId="0A00E33F" w:rsidR="00DF16C5" w:rsidRPr="00E40226" w:rsidRDefault="00A85481" w:rsidP="00DF16C5">
      <w:pPr>
        <w:rPr>
          <w:rFonts w:ascii="Calibri" w:hAnsi="Calibri" w:cs="Calibri"/>
          <w:sz w:val="36"/>
          <w:szCs w:val="36"/>
        </w:rPr>
      </w:pPr>
      <w:r w:rsidRPr="00E40226">
        <w:rPr>
          <w:rFonts w:ascii="Calibri" w:hAnsi="Calibri" w:cs="Calibri"/>
          <w:sz w:val="22"/>
          <w:szCs w:val="22"/>
        </w:rPr>
        <w:t>6.</w:t>
      </w:r>
      <w:r w:rsidR="00DF16C5" w:rsidRPr="00E40226">
        <w:rPr>
          <w:rFonts w:ascii="Calibri" w:hAnsi="Calibri" w:cs="Calibri"/>
          <w:color w:val="000000" w:themeColor="text1"/>
          <w:sz w:val="22"/>
          <w:szCs w:val="22"/>
        </w:rPr>
        <w:t>Monitor information such as age, sex, ethnic background, sexual orientation, religion or belief, and disability within Godly Play UK personnel in order to encourage equality, diversity and inclusion, and to work towards meeting the aims and commitments set out in the equality, diversity and inclusion policy.</w:t>
      </w:r>
      <w:r w:rsidR="00DF16C5" w:rsidRPr="00E40226">
        <w:rPr>
          <w:rFonts w:ascii="Calibri" w:hAnsi="Calibri" w:cs="Calibri"/>
          <w:color w:val="000000" w:themeColor="text1"/>
          <w:sz w:val="22"/>
          <w:szCs w:val="22"/>
        </w:rPr>
        <w:br/>
      </w:r>
      <w:r w:rsidR="00DF16C5" w:rsidRPr="00E40226">
        <w:rPr>
          <w:rFonts w:ascii="Calibri" w:hAnsi="Calibri" w:cs="Calibri"/>
          <w:sz w:val="22"/>
          <w:szCs w:val="22"/>
        </w:rPr>
        <w:lastRenderedPageBreak/>
        <w:br/>
        <w:t>Monitoring will also include assessing how the equality, diversity and inclusion policy,  is working in practice, reviewing it  annually, and considering and taking action to address any issues.</w:t>
      </w:r>
      <w:r w:rsidR="00DF16C5" w:rsidRPr="00E40226">
        <w:rPr>
          <w:rFonts w:ascii="Calibri" w:hAnsi="Calibri" w:cs="Calibri"/>
          <w:sz w:val="22"/>
          <w:szCs w:val="22"/>
        </w:rPr>
        <w:br/>
      </w:r>
      <w:r w:rsidR="00DF16C5" w:rsidRPr="00E40226">
        <w:rPr>
          <w:rFonts w:ascii="Calibri" w:hAnsi="Calibri" w:cs="Calibri"/>
          <w:sz w:val="22"/>
          <w:szCs w:val="22"/>
        </w:rPr>
        <w:br/>
      </w:r>
      <w:r w:rsidR="00DF16C5" w:rsidRPr="00E40226">
        <w:rPr>
          <w:rStyle w:val="Heading2Char"/>
          <w:rFonts w:ascii="Calibri" w:hAnsi="Calibri" w:cs="Calibri"/>
          <w:sz w:val="36"/>
          <w:szCs w:val="36"/>
        </w:rPr>
        <w:t>Agreement to follow this policy</w:t>
      </w:r>
    </w:p>
    <w:p w14:paraId="2A0B4057" w14:textId="77777777" w:rsidR="00DF16C5" w:rsidRPr="00E40226" w:rsidRDefault="00DF16C5" w:rsidP="00DF16C5">
      <w:pPr>
        <w:rPr>
          <w:rFonts w:ascii="Calibri" w:hAnsi="Calibri" w:cs="Calibri"/>
          <w:sz w:val="22"/>
          <w:szCs w:val="22"/>
        </w:rPr>
      </w:pPr>
      <w:r w:rsidRPr="00E40226">
        <w:rPr>
          <w:rFonts w:ascii="Calibri" w:hAnsi="Calibri" w:cs="Calibri"/>
          <w:sz w:val="22"/>
          <w:szCs w:val="22"/>
        </w:rPr>
        <w:t xml:space="preserve">The equality, diversity and inclusion policy </w:t>
      </w:r>
      <w:proofErr w:type="gramStart"/>
      <w:r w:rsidRPr="00E40226">
        <w:rPr>
          <w:rFonts w:ascii="Calibri" w:hAnsi="Calibri" w:cs="Calibri"/>
          <w:sz w:val="22"/>
          <w:szCs w:val="22"/>
        </w:rPr>
        <w:t>is</w:t>
      </w:r>
      <w:proofErr w:type="gramEnd"/>
      <w:r w:rsidRPr="00E40226">
        <w:rPr>
          <w:rFonts w:ascii="Calibri" w:hAnsi="Calibri" w:cs="Calibri"/>
          <w:sz w:val="22"/>
          <w:szCs w:val="22"/>
        </w:rPr>
        <w:t xml:space="preserve"> fully supported by the trustees of Godly Play UK and is made available to all our people.</w:t>
      </w:r>
    </w:p>
    <w:p w14:paraId="5BE522BE" w14:textId="18F935B8" w:rsidR="00DF16C5" w:rsidRPr="00E40226" w:rsidRDefault="00DF16C5" w:rsidP="00E40226">
      <w:pPr>
        <w:pStyle w:val="Heading2"/>
        <w:rPr>
          <w:rFonts w:ascii="Calibri" w:hAnsi="Calibri" w:cs="Calibri"/>
          <w:sz w:val="22"/>
          <w:szCs w:val="22"/>
        </w:rPr>
      </w:pPr>
      <w:r w:rsidRPr="00E40226">
        <w:rPr>
          <w:rFonts w:ascii="Calibri" w:hAnsi="Calibri" w:cs="Calibri"/>
          <w:sz w:val="36"/>
          <w:szCs w:val="36"/>
        </w:rPr>
        <w:t>Our disciplinary and grievance procedures</w:t>
      </w:r>
      <w:r w:rsidRPr="00E40226">
        <w:rPr>
          <w:rFonts w:ascii="Calibri" w:hAnsi="Calibri" w:cs="Calibri"/>
          <w:sz w:val="36"/>
          <w:szCs w:val="36"/>
        </w:rPr>
        <w:br/>
      </w:r>
      <w:r w:rsidRPr="00E40226">
        <w:rPr>
          <w:rFonts w:ascii="Calibri" w:hAnsi="Calibri" w:cs="Calibri"/>
          <w:sz w:val="22"/>
          <w:szCs w:val="22"/>
        </w:rPr>
        <w:t xml:space="preserve">Details of our grievance procedures can be found at </w:t>
      </w:r>
      <w:hyperlink r:id="rId6" w:history="1">
        <w:r w:rsidR="00E40226" w:rsidRPr="002A750E">
          <w:rPr>
            <w:rStyle w:val="Hyperlink"/>
            <w:rFonts w:ascii="Calibri" w:hAnsi="Calibri" w:cs="Calibri"/>
            <w:bCs/>
            <w:sz w:val="22"/>
            <w:szCs w:val="22"/>
          </w:rPr>
          <w:t>www.godlyplay.uk</w:t>
        </w:r>
      </w:hyperlink>
      <w:r w:rsidR="00E40226">
        <w:rPr>
          <w:rFonts w:ascii="Calibri" w:hAnsi="Calibri" w:cs="Calibri"/>
          <w:bCs/>
          <w:sz w:val="22"/>
          <w:szCs w:val="22"/>
        </w:rPr>
        <w:t xml:space="preserve">. </w:t>
      </w:r>
      <w:r w:rsidRPr="00E40226">
        <w:rPr>
          <w:rFonts w:ascii="Calibri" w:hAnsi="Calibri" w:cs="Calibri"/>
          <w:sz w:val="22"/>
          <w:szCs w:val="22"/>
        </w:rPr>
        <w:t>This includes with whom a person should raise a grievance – usually a trustee.</w:t>
      </w:r>
    </w:p>
    <w:p w14:paraId="28E3C927" w14:textId="77777777" w:rsidR="00DF16C5" w:rsidRPr="00E40226" w:rsidRDefault="00DF16C5" w:rsidP="007316A7">
      <w:pPr>
        <w:rPr>
          <w:rFonts w:ascii="Calibri" w:hAnsi="Calibri" w:cs="Calibri"/>
          <w:sz w:val="22"/>
          <w:szCs w:val="22"/>
        </w:rPr>
      </w:pPr>
    </w:p>
    <w:p w14:paraId="667C7C6B" w14:textId="77777777" w:rsidR="007316A7" w:rsidRPr="00E40226" w:rsidRDefault="007316A7" w:rsidP="007316A7">
      <w:pPr>
        <w:pStyle w:val="ListParagraph"/>
        <w:spacing w:after="200" w:line="276" w:lineRule="auto"/>
        <w:ind w:left="780"/>
        <w:rPr>
          <w:rFonts w:ascii="Calibri" w:hAnsi="Calibri" w:cs="Calibri"/>
          <w:sz w:val="22"/>
          <w:szCs w:val="22"/>
        </w:rPr>
      </w:pPr>
    </w:p>
    <w:p w14:paraId="048F64A6" w14:textId="77777777" w:rsidR="007316A7" w:rsidRPr="00E40226" w:rsidRDefault="007316A7" w:rsidP="007316A7">
      <w:pPr>
        <w:spacing w:after="200" w:line="276" w:lineRule="auto"/>
        <w:ind w:left="420"/>
        <w:rPr>
          <w:rFonts w:ascii="Calibri" w:hAnsi="Calibri" w:cs="Calibri"/>
          <w:sz w:val="22"/>
          <w:szCs w:val="22"/>
        </w:rPr>
      </w:pPr>
    </w:p>
    <w:p w14:paraId="3AB41E70" w14:textId="77777777" w:rsidR="007316A7" w:rsidRPr="00E40226" w:rsidRDefault="007316A7" w:rsidP="007316A7">
      <w:pPr>
        <w:pStyle w:val="ListParagraph"/>
        <w:ind w:left="780"/>
        <w:rPr>
          <w:rFonts w:ascii="Calibri" w:hAnsi="Calibri" w:cs="Calibri"/>
          <w:sz w:val="22"/>
          <w:szCs w:val="22"/>
        </w:rPr>
      </w:pPr>
    </w:p>
    <w:p w14:paraId="6773C187" w14:textId="77777777" w:rsidR="007316A7" w:rsidRPr="00E40226" w:rsidRDefault="007316A7" w:rsidP="007316A7">
      <w:pPr>
        <w:rPr>
          <w:rFonts w:ascii="Calibri" w:hAnsi="Calibri" w:cs="Calibri"/>
          <w:color w:val="000000" w:themeColor="text1"/>
          <w:sz w:val="22"/>
          <w:szCs w:val="22"/>
        </w:rPr>
      </w:pPr>
    </w:p>
    <w:p w14:paraId="00EBD5AE" w14:textId="77777777" w:rsidR="007316A7" w:rsidRPr="007316A7" w:rsidRDefault="007316A7" w:rsidP="007316A7">
      <w:pPr>
        <w:jc w:val="center"/>
      </w:pPr>
    </w:p>
    <w:sectPr w:rsidR="007316A7" w:rsidRPr="00731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444F5"/>
    <w:multiLevelType w:val="hybridMultilevel"/>
    <w:tmpl w:val="3DA666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56FF41C1"/>
    <w:multiLevelType w:val="hybridMultilevel"/>
    <w:tmpl w:val="767865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30234158">
    <w:abstractNumId w:val="0"/>
  </w:num>
  <w:num w:numId="2" w16cid:durableId="2144226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A7"/>
    <w:rsid w:val="00086989"/>
    <w:rsid w:val="00114F25"/>
    <w:rsid w:val="004C3B30"/>
    <w:rsid w:val="00644EA6"/>
    <w:rsid w:val="00680E51"/>
    <w:rsid w:val="007316A7"/>
    <w:rsid w:val="007747A8"/>
    <w:rsid w:val="008D0825"/>
    <w:rsid w:val="009B6519"/>
    <w:rsid w:val="00A85481"/>
    <w:rsid w:val="00D11AB5"/>
    <w:rsid w:val="00DF16C5"/>
    <w:rsid w:val="00E40226"/>
    <w:rsid w:val="00F01880"/>
    <w:rsid w:val="00F54C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D950"/>
  <w15:chartTrackingRefBased/>
  <w15:docId w15:val="{02EABB7D-2D99-4740-A24B-40D13005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6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316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6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6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16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6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6A7"/>
    <w:rPr>
      <w:rFonts w:eastAsiaTheme="majorEastAsia" w:cstheme="majorBidi"/>
      <w:color w:val="272727" w:themeColor="text1" w:themeTint="D8"/>
    </w:rPr>
  </w:style>
  <w:style w:type="paragraph" w:styleId="Title">
    <w:name w:val="Title"/>
    <w:basedOn w:val="Normal"/>
    <w:next w:val="Normal"/>
    <w:link w:val="TitleChar"/>
    <w:uiPriority w:val="10"/>
    <w:qFormat/>
    <w:rsid w:val="00731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6A7"/>
    <w:pPr>
      <w:spacing w:before="160"/>
      <w:jc w:val="center"/>
    </w:pPr>
    <w:rPr>
      <w:i/>
      <w:iCs/>
      <w:color w:val="404040" w:themeColor="text1" w:themeTint="BF"/>
    </w:rPr>
  </w:style>
  <w:style w:type="character" w:customStyle="1" w:styleId="QuoteChar">
    <w:name w:val="Quote Char"/>
    <w:basedOn w:val="DefaultParagraphFont"/>
    <w:link w:val="Quote"/>
    <w:uiPriority w:val="29"/>
    <w:rsid w:val="007316A7"/>
    <w:rPr>
      <w:i/>
      <w:iCs/>
      <w:color w:val="404040" w:themeColor="text1" w:themeTint="BF"/>
    </w:rPr>
  </w:style>
  <w:style w:type="paragraph" w:styleId="ListParagraph">
    <w:name w:val="List Paragraph"/>
    <w:basedOn w:val="Normal"/>
    <w:uiPriority w:val="34"/>
    <w:qFormat/>
    <w:rsid w:val="007316A7"/>
    <w:pPr>
      <w:ind w:left="720"/>
      <w:contextualSpacing/>
    </w:pPr>
  </w:style>
  <w:style w:type="character" w:styleId="IntenseEmphasis">
    <w:name w:val="Intense Emphasis"/>
    <w:basedOn w:val="DefaultParagraphFont"/>
    <w:uiPriority w:val="21"/>
    <w:qFormat/>
    <w:rsid w:val="007316A7"/>
    <w:rPr>
      <w:i/>
      <w:iCs/>
      <w:color w:val="0F4761" w:themeColor="accent1" w:themeShade="BF"/>
    </w:rPr>
  </w:style>
  <w:style w:type="paragraph" w:styleId="IntenseQuote">
    <w:name w:val="Intense Quote"/>
    <w:basedOn w:val="Normal"/>
    <w:next w:val="Normal"/>
    <w:link w:val="IntenseQuoteChar"/>
    <w:uiPriority w:val="30"/>
    <w:qFormat/>
    <w:rsid w:val="00731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6A7"/>
    <w:rPr>
      <w:i/>
      <w:iCs/>
      <w:color w:val="0F4761" w:themeColor="accent1" w:themeShade="BF"/>
    </w:rPr>
  </w:style>
  <w:style w:type="character" w:styleId="IntenseReference">
    <w:name w:val="Intense Reference"/>
    <w:basedOn w:val="DefaultParagraphFont"/>
    <w:uiPriority w:val="32"/>
    <w:qFormat/>
    <w:rsid w:val="007316A7"/>
    <w:rPr>
      <w:b/>
      <w:bCs/>
      <w:smallCaps/>
      <w:color w:val="0F4761" w:themeColor="accent1" w:themeShade="BF"/>
      <w:spacing w:val="5"/>
    </w:rPr>
  </w:style>
  <w:style w:type="character" w:styleId="CommentReference">
    <w:name w:val="annotation reference"/>
    <w:basedOn w:val="DefaultParagraphFont"/>
    <w:uiPriority w:val="99"/>
    <w:semiHidden/>
    <w:unhideWhenUsed/>
    <w:rsid w:val="007316A7"/>
    <w:rPr>
      <w:sz w:val="16"/>
      <w:szCs w:val="16"/>
    </w:rPr>
  </w:style>
  <w:style w:type="paragraph" w:styleId="CommentText">
    <w:name w:val="annotation text"/>
    <w:basedOn w:val="Normal"/>
    <w:link w:val="CommentTextChar"/>
    <w:uiPriority w:val="99"/>
    <w:unhideWhenUsed/>
    <w:rsid w:val="007316A7"/>
    <w:pPr>
      <w:spacing w:after="200" w:line="240" w:lineRule="auto"/>
    </w:pPr>
    <w:rPr>
      <w:rFonts w:eastAsiaTheme="minorHAnsi"/>
      <w:kern w:val="0"/>
      <w:sz w:val="20"/>
      <w:szCs w:val="20"/>
      <w:lang w:eastAsia="en-US"/>
      <w14:ligatures w14:val="none"/>
    </w:rPr>
  </w:style>
  <w:style w:type="character" w:customStyle="1" w:styleId="CommentTextChar">
    <w:name w:val="Comment Text Char"/>
    <w:basedOn w:val="DefaultParagraphFont"/>
    <w:link w:val="CommentText"/>
    <w:uiPriority w:val="99"/>
    <w:rsid w:val="007316A7"/>
    <w:rPr>
      <w:rFonts w:eastAsiaTheme="minorHAnsi"/>
      <w:kern w:val="0"/>
      <w:sz w:val="20"/>
      <w:szCs w:val="20"/>
      <w:lang w:eastAsia="en-US"/>
      <w14:ligatures w14:val="none"/>
    </w:rPr>
  </w:style>
  <w:style w:type="paragraph" w:customStyle="1" w:styleId="Body">
    <w:name w:val="Body"/>
    <w:rsid w:val="00E40226"/>
    <w:pPr>
      <w:pBdr>
        <w:top w:val="nil"/>
        <w:left w:val="nil"/>
        <w:bottom w:val="nil"/>
        <w:right w:val="nil"/>
        <w:between w:val="nil"/>
        <w:bar w:val="nil"/>
      </w:pBdr>
      <w:spacing w:after="0" w:line="240" w:lineRule="auto"/>
    </w:pPr>
    <w:rPr>
      <w:rFonts w:ascii="Calibri" w:eastAsia="Calibri" w:hAnsi="Calibri" w:cs="Calibri"/>
      <w:color w:val="000000"/>
      <w:kern w:val="0"/>
      <w:sz w:val="22"/>
      <w:szCs w:val="22"/>
      <w:u w:color="000000"/>
      <w:bdr w:val="nil"/>
      <w:lang w:val="en-US" w:eastAsia="en-GB"/>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E40226"/>
    <w:rPr>
      <w:color w:val="467886" w:themeColor="hyperlink"/>
      <w:u w:val="single"/>
    </w:rPr>
  </w:style>
  <w:style w:type="character" w:styleId="UnresolvedMention">
    <w:name w:val="Unresolved Mention"/>
    <w:basedOn w:val="DefaultParagraphFont"/>
    <w:uiPriority w:val="99"/>
    <w:semiHidden/>
    <w:unhideWhenUsed/>
    <w:rsid w:val="00E40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dlyplay.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Privett</dc:creator>
  <cp:keywords/>
  <dc:description/>
  <cp:lastModifiedBy>Gill Ambrose</cp:lastModifiedBy>
  <cp:revision>2</cp:revision>
  <dcterms:created xsi:type="dcterms:W3CDTF">2025-03-28T12:05:00Z</dcterms:created>
  <dcterms:modified xsi:type="dcterms:W3CDTF">2025-03-28T12:05:00Z</dcterms:modified>
</cp:coreProperties>
</file>